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01B1A44" w14:textId="1249AAB5" w:rsidR="00707D9A" w:rsidRPr="00707D9A" w:rsidRDefault="00707D9A" w:rsidP="00707D9A">
      <w:pPr>
        <w:jc w:val="center"/>
        <w:rPr>
          <w:b/>
          <w:bCs/>
          <w:sz w:val="28"/>
          <w:szCs w:val="28"/>
        </w:rPr>
      </w:pPr>
      <w:r w:rsidRPr="00707D9A">
        <w:rPr>
          <w:b/>
          <w:bCs/>
          <w:sz w:val="28"/>
          <w:szCs w:val="28"/>
        </w:rPr>
        <w:t xml:space="preserve">Češi </w:t>
      </w:r>
      <w:r w:rsidR="00D7555B" w:rsidRPr="00707D9A">
        <w:rPr>
          <w:b/>
          <w:bCs/>
          <w:sz w:val="28"/>
          <w:szCs w:val="28"/>
        </w:rPr>
        <w:t xml:space="preserve">častěji </w:t>
      </w:r>
      <w:r w:rsidRPr="00707D9A">
        <w:rPr>
          <w:b/>
          <w:bCs/>
          <w:sz w:val="28"/>
          <w:szCs w:val="28"/>
        </w:rPr>
        <w:t>konsolidují půjčky</w:t>
      </w:r>
      <w:r w:rsidR="00D7555B">
        <w:rPr>
          <w:b/>
          <w:bCs/>
          <w:sz w:val="28"/>
          <w:szCs w:val="28"/>
        </w:rPr>
        <w:t>.</w:t>
      </w:r>
      <w:r w:rsidR="00D7555B" w:rsidRPr="00707D9A">
        <w:rPr>
          <w:b/>
          <w:bCs/>
          <w:sz w:val="28"/>
          <w:szCs w:val="28"/>
        </w:rPr>
        <w:t xml:space="preserve"> </w:t>
      </w:r>
      <w:r w:rsidR="004C3FA0">
        <w:rPr>
          <w:b/>
          <w:bCs/>
          <w:sz w:val="28"/>
          <w:szCs w:val="28"/>
        </w:rPr>
        <w:br/>
      </w:r>
      <w:r w:rsidRPr="00707D9A">
        <w:rPr>
          <w:b/>
          <w:bCs/>
          <w:sz w:val="28"/>
          <w:szCs w:val="28"/>
        </w:rPr>
        <w:t>Home Credit v roce 2024 refinancoval přes 2,2 miliardy korun</w:t>
      </w:r>
    </w:p>
    <w:p w14:paraId="150F868D" w14:textId="77777777" w:rsidR="00F5681D" w:rsidRPr="00D722CD" w:rsidRDefault="00F5681D" w:rsidP="00707D9A">
      <w:pPr>
        <w:jc w:val="both"/>
        <w:rPr>
          <w:b/>
          <w:bCs/>
        </w:rPr>
      </w:pPr>
    </w:p>
    <w:p w14:paraId="04E5B1C9" w14:textId="09DC3289" w:rsidR="00707D9A" w:rsidRPr="00D5724F" w:rsidRDefault="00BD4EDC" w:rsidP="007E191D">
      <w:pPr>
        <w:pStyle w:val="Textkomente"/>
        <w:jc w:val="both"/>
        <w:rPr>
          <w:b/>
          <w:bCs/>
          <w:sz w:val="22"/>
          <w:szCs w:val="22"/>
        </w:rPr>
      </w:pPr>
      <w:r w:rsidRPr="00D5724F">
        <w:rPr>
          <w:b/>
          <w:bCs/>
          <w:sz w:val="22"/>
          <w:szCs w:val="22"/>
        </w:rPr>
        <w:t xml:space="preserve">Data </w:t>
      </w:r>
      <w:r w:rsidR="00707D9A" w:rsidRPr="00D5724F">
        <w:rPr>
          <w:b/>
          <w:bCs/>
          <w:sz w:val="22"/>
          <w:szCs w:val="22"/>
        </w:rPr>
        <w:t>společnosti Home Credit</w:t>
      </w:r>
      <w:r w:rsidRPr="00D5724F">
        <w:rPr>
          <w:b/>
          <w:bCs/>
          <w:sz w:val="22"/>
          <w:szCs w:val="22"/>
        </w:rPr>
        <w:t xml:space="preserve"> potvrzují rostoucí zájem o spojování více úvěrů do jednoho</w:t>
      </w:r>
      <w:r w:rsidR="00707D9A" w:rsidRPr="00D5724F">
        <w:rPr>
          <w:b/>
          <w:bCs/>
          <w:sz w:val="22"/>
          <w:szCs w:val="22"/>
        </w:rPr>
        <w:t xml:space="preserve">. </w:t>
      </w:r>
      <w:r w:rsidRPr="00D5724F">
        <w:rPr>
          <w:b/>
          <w:bCs/>
          <w:sz w:val="22"/>
          <w:szCs w:val="22"/>
        </w:rPr>
        <w:t>Loni Home Credit</w:t>
      </w:r>
      <w:r w:rsidR="00F5681D" w:rsidRPr="00D5724F">
        <w:rPr>
          <w:b/>
          <w:bCs/>
          <w:sz w:val="22"/>
          <w:szCs w:val="22"/>
        </w:rPr>
        <w:t xml:space="preserve"> </w:t>
      </w:r>
      <w:r w:rsidRPr="00D5724F">
        <w:rPr>
          <w:b/>
          <w:bCs/>
          <w:sz w:val="22"/>
          <w:szCs w:val="22"/>
        </w:rPr>
        <w:t xml:space="preserve">refinancoval půjčky </w:t>
      </w:r>
      <w:r w:rsidR="00707D9A" w:rsidRPr="00D5724F">
        <w:rPr>
          <w:b/>
          <w:bCs/>
          <w:sz w:val="22"/>
          <w:szCs w:val="22"/>
        </w:rPr>
        <w:t>v celkovém objemu</w:t>
      </w:r>
      <w:r w:rsidRPr="00D5724F">
        <w:rPr>
          <w:b/>
          <w:bCs/>
          <w:sz w:val="22"/>
          <w:szCs w:val="22"/>
        </w:rPr>
        <w:t xml:space="preserve"> přes 2</w:t>
      </w:r>
      <w:r w:rsidR="002D60C8" w:rsidRPr="00D5724F">
        <w:rPr>
          <w:b/>
          <w:bCs/>
          <w:sz w:val="22"/>
          <w:szCs w:val="22"/>
        </w:rPr>
        <w:t>,2</w:t>
      </w:r>
      <w:r w:rsidRPr="00D5724F">
        <w:rPr>
          <w:b/>
          <w:bCs/>
          <w:sz w:val="22"/>
          <w:szCs w:val="22"/>
        </w:rPr>
        <w:t xml:space="preserve"> miliardy korun</w:t>
      </w:r>
      <w:r w:rsidR="004C66E6" w:rsidRPr="00D5724F">
        <w:rPr>
          <w:b/>
          <w:bCs/>
          <w:sz w:val="22"/>
          <w:szCs w:val="22"/>
        </w:rPr>
        <w:t xml:space="preserve"> </w:t>
      </w:r>
      <w:r w:rsidR="00F77FD8" w:rsidRPr="00D5724F">
        <w:rPr>
          <w:b/>
          <w:bCs/>
          <w:sz w:val="22"/>
          <w:szCs w:val="22"/>
        </w:rPr>
        <w:t>s</w:t>
      </w:r>
      <w:r w:rsidR="000A36B4" w:rsidRPr="00D5724F">
        <w:rPr>
          <w:b/>
          <w:bCs/>
          <w:sz w:val="22"/>
          <w:szCs w:val="22"/>
        </w:rPr>
        <w:t xml:space="preserve"> meziročním </w:t>
      </w:r>
      <w:r w:rsidR="002D0B21" w:rsidRPr="00D5724F">
        <w:rPr>
          <w:b/>
          <w:bCs/>
          <w:sz w:val="22"/>
          <w:szCs w:val="22"/>
        </w:rPr>
        <w:t>n</w:t>
      </w:r>
      <w:r w:rsidR="00F77FD8" w:rsidRPr="00D5724F">
        <w:rPr>
          <w:b/>
          <w:bCs/>
          <w:sz w:val="22"/>
          <w:szCs w:val="22"/>
        </w:rPr>
        <w:t>árůstem</w:t>
      </w:r>
      <w:r w:rsidR="002D0B21" w:rsidRPr="00D5724F">
        <w:rPr>
          <w:b/>
          <w:bCs/>
          <w:sz w:val="22"/>
          <w:szCs w:val="22"/>
        </w:rPr>
        <w:t xml:space="preserve"> o 34 </w:t>
      </w:r>
      <w:r w:rsidR="00157A62" w:rsidRPr="00D5724F">
        <w:rPr>
          <w:b/>
          <w:bCs/>
          <w:sz w:val="22"/>
          <w:szCs w:val="22"/>
        </w:rPr>
        <w:t>procent</w:t>
      </w:r>
      <w:r w:rsidR="005514F0" w:rsidRPr="00D5724F">
        <w:rPr>
          <w:b/>
          <w:bCs/>
          <w:sz w:val="22"/>
          <w:szCs w:val="22"/>
        </w:rPr>
        <w:t>.</w:t>
      </w:r>
      <w:r w:rsidR="00707D9A" w:rsidRPr="00D5724F">
        <w:rPr>
          <w:b/>
          <w:bCs/>
          <w:sz w:val="22"/>
          <w:szCs w:val="22"/>
        </w:rPr>
        <w:t xml:space="preserve"> </w:t>
      </w:r>
      <w:r w:rsidR="004C3FA0">
        <w:rPr>
          <w:b/>
          <w:bCs/>
          <w:sz w:val="22"/>
          <w:szCs w:val="22"/>
        </w:rPr>
        <w:t>Společnost</w:t>
      </w:r>
      <w:r w:rsidR="00725453">
        <w:rPr>
          <w:b/>
          <w:bCs/>
          <w:sz w:val="22"/>
          <w:szCs w:val="22"/>
        </w:rPr>
        <w:t xml:space="preserve"> běžně refinancuje bankovní i nebankovní úvěry, nejen vlastní smlouvy. Ty tvoří zhruba polovinu konsolidovaných smluv.</w:t>
      </w:r>
      <w:r w:rsidR="003503DD" w:rsidRPr="00D5724F">
        <w:rPr>
          <w:b/>
          <w:bCs/>
          <w:sz w:val="22"/>
          <w:szCs w:val="22"/>
        </w:rPr>
        <w:t xml:space="preserve"> </w:t>
      </w:r>
      <w:r w:rsidR="001107A2" w:rsidRPr="00D5724F">
        <w:rPr>
          <w:b/>
          <w:bCs/>
          <w:sz w:val="22"/>
          <w:szCs w:val="22"/>
        </w:rPr>
        <w:t>Při optimalizaci se zaměřuje na maximální jednoduchost celého procesu – novou smlouvu lze sjednat online, po telefonu i osobně.</w:t>
      </w:r>
      <w:r w:rsidR="001107A2">
        <w:rPr>
          <w:b/>
          <w:bCs/>
          <w:sz w:val="22"/>
          <w:szCs w:val="22"/>
        </w:rPr>
        <w:t xml:space="preserve"> </w:t>
      </w:r>
      <w:r w:rsidR="004C3FA0">
        <w:rPr>
          <w:b/>
          <w:bCs/>
          <w:sz w:val="22"/>
          <w:szCs w:val="22"/>
        </w:rPr>
        <w:t>Home Credit</w:t>
      </w:r>
      <w:r w:rsidR="00700BD5" w:rsidRPr="00D5724F">
        <w:rPr>
          <w:b/>
          <w:bCs/>
          <w:sz w:val="22"/>
          <w:szCs w:val="22"/>
        </w:rPr>
        <w:t xml:space="preserve"> </w:t>
      </w:r>
      <w:r w:rsidR="00B64CB0">
        <w:rPr>
          <w:b/>
          <w:bCs/>
          <w:sz w:val="22"/>
          <w:szCs w:val="22"/>
        </w:rPr>
        <w:t xml:space="preserve">doporučuje svým </w:t>
      </w:r>
      <w:r w:rsidR="001F5EC0" w:rsidRPr="00D5724F">
        <w:rPr>
          <w:b/>
          <w:bCs/>
          <w:sz w:val="22"/>
          <w:szCs w:val="22"/>
        </w:rPr>
        <w:t xml:space="preserve">klientům </w:t>
      </w:r>
      <w:r w:rsidR="008759F5" w:rsidRPr="00D5724F">
        <w:rPr>
          <w:b/>
          <w:bCs/>
          <w:sz w:val="22"/>
          <w:szCs w:val="22"/>
        </w:rPr>
        <w:t xml:space="preserve">raději </w:t>
      </w:r>
      <w:r w:rsidR="00D81A65" w:rsidRPr="00D5724F">
        <w:rPr>
          <w:b/>
          <w:bCs/>
          <w:sz w:val="22"/>
          <w:szCs w:val="22"/>
        </w:rPr>
        <w:t xml:space="preserve">závazky </w:t>
      </w:r>
      <w:r w:rsidR="00AE33ED" w:rsidRPr="00D5724F">
        <w:rPr>
          <w:b/>
          <w:bCs/>
          <w:sz w:val="22"/>
          <w:szCs w:val="22"/>
        </w:rPr>
        <w:t>konsolidovat</w:t>
      </w:r>
      <w:r w:rsidR="001F5EC0" w:rsidRPr="00D5724F">
        <w:rPr>
          <w:b/>
          <w:bCs/>
          <w:sz w:val="22"/>
          <w:szCs w:val="22"/>
        </w:rPr>
        <w:t xml:space="preserve">, </w:t>
      </w:r>
      <w:r w:rsidR="008759F5" w:rsidRPr="00D5724F">
        <w:rPr>
          <w:b/>
          <w:bCs/>
          <w:sz w:val="22"/>
          <w:szCs w:val="22"/>
        </w:rPr>
        <w:t xml:space="preserve">než </w:t>
      </w:r>
      <w:r w:rsidR="00AE33ED" w:rsidRPr="00D5724F">
        <w:rPr>
          <w:b/>
          <w:bCs/>
          <w:sz w:val="22"/>
          <w:szCs w:val="22"/>
        </w:rPr>
        <w:t xml:space="preserve">aby si </w:t>
      </w:r>
      <w:r w:rsidR="001F5EC0" w:rsidRPr="00D5724F">
        <w:rPr>
          <w:b/>
          <w:bCs/>
          <w:sz w:val="22"/>
          <w:szCs w:val="22"/>
        </w:rPr>
        <w:t>bra</w:t>
      </w:r>
      <w:r w:rsidR="00AE33ED" w:rsidRPr="00D5724F">
        <w:rPr>
          <w:b/>
          <w:bCs/>
          <w:sz w:val="22"/>
          <w:szCs w:val="22"/>
        </w:rPr>
        <w:t>li</w:t>
      </w:r>
      <w:r w:rsidR="001F5EC0" w:rsidRPr="00D5724F">
        <w:rPr>
          <w:b/>
          <w:bCs/>
          <w:sz w:val="22"/>
          <w:szCs w:val="22"/>
        </w:rPr>
        <w:t xml:space="preserve"> </w:t>
      </w:r>
      <w:r w:rsidR="001C58EF">
        <w:rPr>
          <w:b/>
          <w:bCs/>
          <w:sz w:val="22"/>
          <w:szCs w:val="22"/>
        </w:rPr>
        <w:t>další</w:t>
      </w:r>
      <w:r w:rsidR="00725453">
        <w:rPr>
          <w:b/>
          <w:bCs/>
          <w:sz w:val="22"/>
          <w:szCs w:val="22"/>
        </w:rPr>
        <w:t xml:space="preserve"> a</w:t>
      </w:r>
      <w:r w:rsidR="001C58EF">
        <w:rPr>
          <w:b/>
          <w:bCs/>
          <w:sz w:val="22"/>
          <w:szCs w:val="22"/>
        </w:rPr>
        <w:t xml:space="preserve"> </w:t>
      </w:r>
      <w:r w:rsidR="001F5EC0" w:rsidRPr="00D5724F">
        <w:rPr>
          <w:b/>
          <w:bCs/>
          <w:sz w:val="22"/>
          <w:szCs w:val="22"/>
        </w:rPr>
        <w:t xml:space="preserve">další </w:t>
      </w:r>
      <w:r w:rsidR="00D81A65" w:rsidRPr="00D5724F">
        <w:rPr>
          <w:b/>
          <w:bCs/>
          <w:sz w:val="22"/>
          <w:szCs w:val="22"/>
        </w:rPr>
        <w:t>půjčky</w:t>
      </w:r>
      <w:r w:rsidR="000F7352">
        <w:rPr>
          <w:b/>
          <w:bCs/>
          <w:sz w:val="22"/>
          <w:szCs w:val="22"/>
        </w:rPr>
        <w:t>.</w:t>
      </w:r>
      <w:r w:rsidR="00D722CD" w:rsidRPr="00D5724F">
        <w:rPr>
          <w:b/>
          <w:bCs/>
          <w:sz w:val="22"/>
          <w:szCs w:val="22"/>
        </w:rPr>
        <w:t xml:space="preserve"> </w:t>
      </w:r>
    </w:p>
    <w:p w14:paraId="49545D29" w14:textId="2D6CB861" w:rsidR="00B64CB0" w:rsidRPr="00B64CB0" w:rsidRDefault="00707D9A" w:rsidP="00B64CB0">
      <w:pPr>
        <w:pStyle w:val="Textkomente"/>
        <w:jc w:val="both"/>
      </w:pPr>
      <w:r w:rsidRPr="00D5724F">
        <w:rPr>
          <w:i/>
          <w:iCs/>
          <w:sz w:val="22"/>
          <w:szCs w:val="22"/>
        </w:rPr>
        <w:t>„Spojení půjček lidem umožňuje získat lepší přehled nad financemi a snížit výdaje. Konsolidace dává smysl hlavně ve chvíli, kdy mají klienti více různých úvěrů a chtějí si snížit splátky nebo úrokovou sazbu. Významným trendem posledních let je i rostoucí počet klientů, kteří využívají konsolidaci k tomu, aby si nejen snížili měsíční zatížení, ale také získali dodatečné finance na další výdaje</w:t>
      </w:r>
      <w:r w:rsidR="00F5681D" w:rsidRPr="00D5724F">
        <w:rPr>
          <w:i/>
          <w:iCs/>
          <w:sz w:val="22"/>
          <w:szCs w:val="22"/>
        </w:rPr>
        <w:t>. Přestože se může zdát, že konsolidace půjček se vyplatí jen těm, kteří mají vysoké dluhy, není to pravda</w:t>
      </w:r>
      <w:r w:rsidR="00EF7022" w:rsidRPr="00D5724F">
        <w:rPr>
          <w:i/>
          <w:iCs/>
          <w:sz w:val="22"/>
          <w:szCs w:val="22"/>
        </w:rPr>
        <w:t xml:space="preserve">, i když </w:t>
      </w:r>
      <w:r w:rsidR="001E6B3F">
        <w:rPr>
          <w:i/>
          <w:iCs/>
          <w:sz w:val="22"/>
          <w:szCs w:val="22"/>
        </w:rPr>
        <w:t xml:space="preserve">platí: </w:t>
      </w:r>
      <w:r w:rsidR="00EF7022" w:rsidRPr="00D5724F">
        <w:rPr>
          <w:i/>
          <w:iCs/>
          <w:sz w:val="22"/>
          <w:szCs w:val="22"/>
        </w:rPr>
        <w:t>čím více půjček, tím lépe se optimalizuj</w:t>
      </w:r>
      <w:r w:rsidR="001E6B3F">
        <w:rPr>
          <w:i/>
          <w:iCs/>
          <w:sz w:val="22"/>
          <w:szCs w:val="22"/>
        </w:rPr>
        <w:t>í</w:t>
      </w:r>
      <w:r w:rsidR="00EF7022" w:rsidRPr="00D5724F">
        <w:rPr>
          <w:i/>
          <w:iCs/>
          <w:sz w:val="22"/>
          <w:szCs w:val="22"/>
        </w:rPr>
        <w:t>.</w:t>
      </w:r>
      <w:r w:rsidR="00390BD8" w:rsidRPr="00D5724F">
        <w:rPr>
          <w:i/>
          <w:iCs/>
          <w:sz w:val="22"/>
          <w:szCs w:val="22"/>
        </w:rPr>
        <w:t xml:space="preserve"> J</w:t>
      </w:r>
      <w:r w:rsidR="00F5681D" w:rsidRPr="00D5724F">
        <w:rPr>
          <w:i/>
          <w:iCs/>
          <w:sz w:val="22"/>
          <w:szCs w:val="22"/>
        </w:rPr>
        <w:t>ejich spojení může výrazně usnadnit správu financí a ulevit od administrativní zátěže</w:t>
      </w:r>
      <w:r w:rsidR="003078DB" w:rsidRPr="00D5724F">
        <w:rPr>
          <w:i/>
          <w:iCs/>
          <w:sz w:val="22"/>
          <w:szCs w:val="22"/>
        </w:rPr>
        <w:t xml:space="preserve">. Ale ušetřit se dá klidně jen na jedné půjčce, protože i tu si může klient </w:t>
      </w:r>
      <w:r w:rsidR="00CB47A1">
        <w:rPr>
          <w:i/>
          <w:iCs/>
          <w:sz w:val="22"/>
          <w:szCs w:val="22"/>
        </w:rPr>
        <w:t xml:space="preserve">optimalizovat </w:t>
      </w:r>
      <w:r w:rsidR="003078DB" w:rsidRPr="00D5724F">
        <w:rPr>
          <w:i/>
          <w:iCs/>
          <w:sz w:val="22"/>
          <w:szCs w:val="22"/>
        </w:rPr>
        <w:t>s případnou hotovostí navíc, namísto aby si bral novou půjčku,</w:t>
      </w:r>
      <w:r w:rsidRPr="00B64CB0">
        <w:rPr>
          <w:i/>
          <w:iCs/>
          <w:sz w:val="22"/>
          <w:szCs w:val="22"/>
        </w:rPr>
        <w:t>“</w:t>
      </w:r>
      <w:r w:rsidRPr="00B64CB0">
        <w:rPr>
          <w:sz w:val="22"/>
          <w:szCs w:val="22"/>
        </w:rPr>
        <w:t xml:space="preserve"> vysvětluje </w:t>
      </w:r>
      <w:r w:rsidR="00B64CB0" w:rsidRPr="00B64CB0">
        <w:rPr>
          <w:sz w:val="22"/>
          <w:szCs w:val="22"/>
        </w:rPr>
        <w:t>Roman Žák, vedoucí oddělení Úvěrov</w:t>
      </w:r>
      <w:r w:rsidR="004C3FA0">
        <w:rPr>
          <w:sz w:val="22"/>
          <w:szCs w:val="22"/>
        </w:rPr>
        <w:t>á</w:t>
      </w:r>
      <w:r w:rsidR="00B64CB0" w:rsidRPr="00B64CB0">
        <w:rPr>
          <w:sz w:val="22"/>
          <w:szCs w:val="22"/>
        </w:rPr>
        <w:t xml:space="preserve"> propozice a pojištění.</w:t>
      </w:r>
    </w:p>
    <w:p w14:paraId="7E464BA2" w14:textId="77777777" w:rsidR="00C50279" w:rsidRDefault="00C50279" w:rsidP="007E191D">
      <w:pPr>
        <w:jc w:val="both"/>
        <w:rPr>
          <w:b/>
          <w:bCs/>
        </w:rPr>
      </w:pPr>
    </w:p>
    <w:p w14:paraId="1C2B4C88" w14:textId="249B8B93" w:rsidR="00707D9A" w:rsidRPr="00D5724F" w:rsidRDefault="00707D9A" w:rsidP="007E191D">
      <w:pPr>
        <w:jc w:val="both"/>
        <w:rPr>
          <w:b/>
          <w:bCs/>
        </w:rPr>
      </w:pPr>
      <w:r w:rsidRPr="00D5724F">
        <w:rPr>
          <w:b/>
          <w:bCs/>
        </w:rPr>
        <w:t>Konsolidace půjček bez starostí</w:t>
      </w:r>
    </w:p>
    <w:p w14:paraId="2575A560" w14:textId="231FDD3E" w:rsidR="008C16AF" w:rsidRPr="008C16AF" w:rsidRDefault="00707D9A" w:rsidP="008C16AF">
      <w:pPr>
        <w:pStyle w:val="Textkomente"/>
        <w:jc w:val="both"/>
        <w:rPr>
          <w:b/>
          <w:bCs/>
          <w:sz w:val="22"/>
          <w:szCs w:val="22"/>
        </w:rPr>
      </w:pPr>
      <w:r w:rsidRPr="008C16AF">
        <w:rPr>
          <w:sz w:val="22"/>
          <w:szCs w:val="22"/>
        </w:rPr>
        <w:t>Home Credit umožňuje konsolidovat půjčky v rozmezí 30 000 Kč až 1 000 000 Kč</w:t>
      </w:r>
      <w:r w:rsidR="00E02AD8" w:rsidRPr="008C16AF">
        <w:rPr>
          <w:sz w:val="22"/>
          <w:szCs w:val="22"/>
        </w:rPr>
        <w:t xml:space="preserve">, přičemž průměrná výše konsolidovaného úvěru v roce 2024 činila </w:t>
      </w:r>
      <w:r w:rsidR="001C58EF">
        <w:rPr>
          <w:sz w:val="22"/>
          <w:szCs w:val="22"/>
        </w:rPr>
        <w:t xml:space="preserve">přes </w:t>
      </w:r>
      <w:r w:rsidR="00E02AD8" w:rsidRPr="008C16AF">
        <w:rPr>
          <w:sz w:val="22"/>
          <w:szCs w:val="22"/>
        </w:rPr>
        <w:t>36</w:t>
      </w:r>
      <w:r w:rsidR="001C58EF">
        <w:rPr>
          <w:sz w:val="22"/>
          <w:szCs w:val="22"/>
        </w:rPr>
        <w:t>0</w:t>
      </w:r>
      <w:r w:rsidR="00E02AD8" w:rsidRPr="008C16AF">
        <w:rPr>
          <w:sz w:val="22"/>
          <w:szCs w:val="22"/>
        </w:rPr>
        <w:t> </w:t>
      </w:r>
      <w:r w:rsidR="001C58EF">
        <w:rPr>
          <w:sz w:val="22"/>
          <w:szCs w:val="22"/>
        </w:rPr>
        <w:t>tis</w:t>
      </w:r>
      <w:r w:rsidR="004C3FA0">
        <w:rPr>
          <w:sz w:val="22"/>
          <w:szCs w:val="22"/>
        </w:rPr>
        <w:t>íc</w:t>
      </w:r>
      <w:r w:rsidR="001C58EF" w:rsidRPr="008C16AF">
        <w:rPr>
          <w:sz w:val="22"/>
          <w:szCs w:val="22"/>
        </w:rPr>
        <w:t xml:space="preserve"> </w:t>
      </w:r>
      <w:r w:rsidR="00E02AD8" w:rsidRPr="008C16AF">
        <w:rPr>
          <w:sz w:val="22"/>
          <w:szCs w:val="22"/>
        </w:rPr>
        <w:t xml:space="preserve">Kč. </w:t>
      </w:r>
      <w:r w:rsidRPr="008C16AF">
        <w:rPr>
          <w:sz w:val="22"/>
          <w:szCs w:val="22"/>
        </w:rPr>
        <w:t>Konsolidovat lze jakékoliv úvěry na spotřební zboží</w:t>
      </w:r>
      <w:r w:rsidR="00F831BD">
        <w:rPr>
          <w:sz w:val="22"/>
          <w:szCs w:val="22"/>
        </w:rPr>
        <w:t xml:space="preserve"> </w:t>
      </w:r>
      <w:r w:rsidRPr="008C16AF">
        <w:rPr>
          <w:sz w:val="22"/>
          <w:szCs w:val="22"/>
        </w:rPr>
        <w:t>včetně auto úvěrů,</w:t>
      </w:r>
      <w:r w:rsidR="0049446F">
        <w:rPr>
          <w:sz w:val="22"/>
          <w:szCs w:val="22"/>
        </w:rPr>
        <w:t xml:space="preserve"> </w:t>
      </w:r>
      <w:r w:rsidRPr="008C16AF">
        <w:rPr>
          <w:sz w:val="22"/>
          <w:szCs w:val="22"/>
        </w:rPr>
        <w:t>hotovostní</w:t>
      </w:r>
      <w:r w:rsidR="004C3FA0">
        <w:rPr>
          <w:sz w:val="22"/>
          <w:szCs w:val="22"/>
        </w:rPr>
        <w:t>ch</w:t>
      </w:r>
      <w:r w:rsidRPr="008C16AF">
        <w:rPr>
          <w:sz w:val="22"/>
          <w:szCs w:val="22"/>
        </w:rPr>
        <w:t xml:space="preserve"> půjč</w:t>
      </w:r>
      <w:r w:rsidR="004C3FA0">
        <w:rPr>
          <w:sz w:val="22"/>
          <w:szCs w:val="22"/>
        </w:rPr>
        <w:t>e</w:t>
      </w:r>
      <w:r w:rsidRPr="008C16AF">
        <w:rPr>
          <w:sz w:val="22"/>
          <w:szCs w:val="22"/>
        </w:rPr>
        <w:t>k, kreditní</w:t>
      </w:r>
      <w:r w:rsidR="004C3FA0">
        <w:rPr>
          <w:sz w:val="22"/>
          <w:szCs w:val="22"/>
        </w:rPr>
        <w:t>ch</w:t>
      </w:r>
      <w:r w:rsidRPr="008C16AF">
        <w:rPr>
          <w:sz w:val="22"/>
          <w:szCs w:val="22"/>
        </w:rPr>
        <w:t xml:space="preserve"> kar</w:t>
      </w:r>
      <w:r w:rsidR="004C3FA0">
        <w:rPr>
          <w:sz w:val="22"/>
          <w:szCs w:val="22"/>
        </w:rPr>
        <w:t>e</w:t>
      </w:r>
      <w:r w:rsidRPr="008C16AF">
        <w:rPr>
          <w:sz w:val="22"/>
          <w:szCs w:val="22"/>
        </w:rPr>
        <w:t>t, kontokorentní</w:t>
      </w:r>
      <w:r w:rsidR="004C3FA0">
        <w:rPr>
          <w:sz w:val="22"/>
          <w:szCs w:val="22"/>
        </w:rPr>
        <w:t>ch</w:t>
      </w:r>
      <w:r w:rsidRPr="008C16AF">
        <w:rPr>
          <w:sz w:val="22"/>
          <w:szCs w:val="22"/>
        </w:rPr>
        <w:t xml:space="preserve"> úvěr</w:t>
      </w:r>
      <w:r w:rsidR="004C3FA0">
        <w:rPr>
          <w:sz w:val="22"/>
          <w:szCs w:val="22"/>
        </w:rPr>
        <w:t>ů</w:t>
      </w:r>
      <w:r w:rsidRPr="008C16AF">
        <w:rPr>
          <w:sz w:val="22"/>
          <w:szCs w:val="22"/>
        </w:rPr>
        <w:t xml:space="preserve"> nebo finanční</w:t>
      </w:r>
      <w:r w:rsidR="004C3FA0">
        <w:rPr>
          <w:sz w:val="22"/>
          <w:szCs w:val="22"/>
        </w:rPr>
        <w:t>ch</w:t>
      </w:r>
      <w:r w:rsidRPr="008C16AF">
        <w:rPr>
          <w:sz w:val="22"/>
          <w:szCs w:val="22"/>
        </w:rPr>
        <w:t xml:space="preserve"> leasing</w:t>
      </w:r>
      <w:r w:rsidR="004C3FA0">
        <w:rPr>
          <w:sz w:val="22"/>
          <w:szCs w:val="22"/>
        </w:rPr>
        <w:t>ů</w:t>
      </w:r>
      <w:r w:rsidR="00184B10" w:rsidRPr="008C16AF">
        <w:rPr>
          <w:sz w:val="22"/>
          <w:szCs w:val="22"/>
        </w:rPr>
        <w:t xml:space="preserve">, které má klient sjednány jak u </w:t>
      </w:r>
      <w:r w:rsidR="004C3FA0">
        <w:rPr>
          <w:sz w:val="22"/>
          <w:szCs w:val="22"/>
        </w:rPr>
        <w:t xml:space="preserve">bankovních, tak i </w:t>
      </w:r>
      <w:r w:rsidR="00184B10" w:rsidRPr="008C16AF">
        <w:rPr>
          <w:sz w:val="22"/>
          <w:szCs w:val="22"/>
        </w:rPr>
        <w:t>nebankovních</w:t>
      </w:r>
      <w:r w:rsidRPr="008C16AF">
        <w:rPr>
          <w:sz w:val="22"/>
          <w:szCs w:val="22"/>
        </w:rPr>
        <w:t xml:space="preserve"> společnost</w:t>
      </w:r>
      <w:r w:rsidR="00184B10" w:rsidRPr="008C16AF">
        <w:rPr>
          <w:sz w:val="22"/>
          <w:szCs w:val="22"/>
        </w:rPr>
        <w:t>í.</w:t>
      </w:r>
      <w:r w:rsidR="003C3DD1" w:rsidRPr="008C16AF">
        <w:rPr>
          <w:sz w:val="22"/>
          <w:szCs w:val="22"/>
        </w:rPr>
        <w:t xml:space="preserve">  Home Credit</w:t>
      </w:r>
      <w:r w:rsidR="00C933C1">
        <w:rPr>
          <w:sz w:val="22"/>
          <w:szCs w:val="22"/>
        </w:rPr>
        <w:t xml:space="preserve"> se jako</w:t>
      </w:r>
      <w:r w:rsidR="00C933C1" w:rsidRPr="008C16AF">
        <w:rPr>
          <w:sz w:val="22"/>
          <w:szCs w:val="22"/>
        </w:rPr>
        <w:t xml:space="preserve"> jedin</w:t>
      </w:r>
      <w:r w:rsidR="0049446F">
        <w:rPr>
          <w:sz w:val="22"/>
          <w:szCs w:val="22"/>
        </w:rPr>
        <w:t>ý z</w:t>
      </w:r>
      <w:r w:rsidR="00C933C1" w:rsidRPr="008C16AF">
        <w:rPr>
          <w:sz w:val="22"/>
          <w:szCs w:val="22"/>
        </w:rPr>
        <w:t xml:space="preserve"> nebankovní</w:t>
      </w:r>
      <w:r w:rsidR="0049446F">
        <w:rPr>
          <w:sz w:val="22"/>
          <w:szCs w:val="22"/>
        </w:rPr>
        <w:t>ch</w:t>
      </w:r>
      <w:r w:rsidR="00C933C1" w:rsidRPr="008C16AF">
        <w:rPr>
          <w:sz w:val="22"/>
          <w:szCs w:val="22"/>
        </w:rPr>
        <w:t xml:space="preserve"> společnost</w:t>
      </w:r>
      <w:r w:rsidR="0049446F">
        <w:rPr>
          <w:sz w:val="22"/>
          <w:szCs w:val="22"/>
        </w:rPr>
        <w:t>í</w:t>
      </w:r>
      <w:r w:rsidR="00C933C1" w:rsidRPr="008C16AF">
        <w:rPr>
          <w:sz w:val="22"/>
          <w:szCs w:val="22"/>
        </w:rPr>
        <w:t xml:space="preserve"> připojil k</w:t>
      </w:r>
      <w:r w:rsidR="00C933C1" w:rsidRPr="008C16AF">
        <w:rPr>
          <w:b/>
          <w:bCs/>
          <w:sz w:val="22"/>
          <w:szCs w:val="22"/>
        </w:rPr>
        <w:t> </w:t>
      </w:r>
      <w:hyperlink r:id="rId11" w:history="1">
        <w:r w:rsidR="00C933C1" w:rsidRPr="008C16AF">
          <w:rPr>
            <w:rStyle w:val="Hypertextovodkaz"/>
            <w:b/>
            <w:bCs/>
            <w:sz w:val="22"/>
            <w:szCs w:val="22"/>
          </w:rPr>
          <w:t>Memorandu Č</w:t>
        </w:r>
        <w:r w:rsidR="00C933C1" w:rsidRPr="008C16AF">
          <w:rPr>
            <w:rStyle w:val="Hypertextovodkaz"/>
            <w:b/>
            <w:bCs/>
            <w:sz w:val="22"/>
            <w:szCs w:val="22"/>
          </w:rPr>
          <w:t>B</w:t>
        </w:r>
        <w:r w:rsidR="00C933C1" w:rsidRPr="008C16AF">
          <w:rPr>
            <w:rStyle w:val="Hypertextovodkaz"/>
            <w:b/>
            <w:bCs/>
            <w:sz w:val="22"/>
            <w:szCs w:val="22"/>
          </w:rPr>
          <w:t>A k refinancování nezajištěných úvěrů</w:t>
        </w:r>
      </w:hyperlink>
      <w:r w:rsidR="00C933C1">
        <w:rPr>
          <w:b/>
          <w:bCs/>
          <w:sz w:val="22"/>
          <w:szCs w:val="22"/>
        </w:rPr>
        <w:t xml:space="preserve">, </w:t>
      </w:r>
      <w:r w:rsidR="00725453" w:rsidRPr="004C3FA0">
        <w:rPr>
          <w:sz w:val="22"/>
          <w:szCs w:val="22"/>
        </w:rPr>
        <w:t xml:space="preserve">které </w:t>
      </w:r>
      <w:r w:rsidR="001C58EF">
        <w:rPr>
          <w:sz w:val="22"/>
          <w:szCs w:val="22"/>
        </w:rPr>
        <w:t xml:space="preserve">nastavuje pravidla maximálně hladkého </w:t>
      </w:r>
      <w:r w:rsidR="004C3FA0">
        <w:rPr>
          <w:sz w:val="22"/>
          <w:szCs w:val="22"/>
        </w:rPr>
        <w:br/>
      </w:r>
      <w:r w:rsidR="001C58EF">
        <w:rPr>
          <w:sz w:val="22"/>
          <w:szCs w:val="22"/>
        </w:rPr>
        <w:t>a jednoduchého převodu půjček, když se klient rozhodne převést</w:t>
      </w:r>
      <w:r w:rsidR="004C3FA0">
        <w:rPr>
          <w:sz w:val="22"/>
          <w:szCs w:val="22"/>
        </w:rPr>
        <w:t xml:space="preserve"> je</w:t>
      </w:r>
      <w:r w:rsidR="001C58EF">
        <w:rPr>
          <w:sz w:val="22"/>
          <w:szCs w:val="22"/>
        </w:rPr>
        <w:t xml:space="preserve"> jinam.</w:t>
      </w:r>
    </w:p>
    <w:p w14:paraId="0CFB8A72" w14:textId="0ADCF8E1" w:rsidR="006F1A9D" w:rsidRPr="00D5724F" w:rsidRDefault="004C3FA0" w:rsidP="007E191D">
      <w:pPr>
        <w:pStyle w:val="Textkomente"/>
        <w:jc w:val="both"/>
        <w:rPr>
          <w:sz w:val="22"/>
          <w:szCs w:val="22"/>
        </w:rPr>
      </w:pPr>
      <w:r w:rsidRPr="004C3FA0">
        <w:rPr>
          <w:i/>
          <w:iCs/>
          <w:sz w:val="22"/>
          <w:szCs w:val="22"/>
        </w:rPr>
        <w:t xml:space="preserve">„U konsolidací jsme v roce 2024 zvýšili maximální částku na milion korun, a to v reakci na požadavky klientů, kdy chtějí nejen optimalizovat svoje splátky, ale někteří </w:t>
      </w:r>
      <w:r>
        <w:rPr>
          <w:i/>
          <w:iCs/>
          <w:sz w:val="22"/>
          <w:szCs w:val="22"/>
        </w:rPr>
        <w:t>navíc</w:t>
      </w:r>
      <w:r w:rsidRPr="004C3FA0">
        <w:rPr>
          <w:i/>
          <w:iCs/>
          <w:sz w:val="22"/>
          <w:szCs w:val="22"/>
        </w:rPr>
        <w:t xml:space="preserve"> potřebují další hotové peníze. Díky refinancování do jedné půjčky s jednou splátkou mohou totiž bez dodatečného zatížení svého rozpočtu získat daleko víc</w:t>
      </w:r>
      <w:r>
        <w:rPr>
          <w:i/>
          <w:iCs/>
          <w:sz w:val="22"/>
          <w:szCs w:val="22"/>
        </w:rPr>
        <w:t>,</w:t>
      </w:r>
      <w:r w:rsidRPr="004C3FA0">
        <w:rPr>
          <w:i/>
          <w:iCs/>
          <w:sz w:val="22"/>
          <w:szCs w:val="22"/>
        </w:rPr>
        <w:t>“</w:t>
      </w:r>
      <w:r w:rsidR="00C408D4">
        <w:rPr>
          <w:i/>
          <w:iCs/>
          <w:sz w:val="22"/>
          <w:szCs w:val="22"/>
        </w:rPr>
        <w:t>,“</w:t>
      </w:r>
      <w:r w:rsidR="005305D3" w:rsidRPr="00D5724F">
        <w:rPr>
          <w:sz w:val="22"/>
          <w:szCs w:val="22"/>
        </w:rPr>
        <w:t xml:space="preserve"> </w:t>
      </w:r>
      <w:r w:rsidR="00336918" w:rsidRPr="00D5724F">
        <w:rPr>
          <w:sz w:val="22"/>
          <w:szCs w:val="22"/>
        </w:rPr>
        <w:t>dodává</w:t>
      </w:r>
      <w:r w:rsidR="006F1A9D" w:rsidRPr="00D5724F">
        <w:rPr>
          <w:sz w:val="22"/>
          <w:szCs w:val="22"/>
        </w:rPr>
        <w:t xml:space="preserve"> </w:t>
      </w:r>
      <w:r w:rsidR="00363449">
        <w:rPr>
          <w:sz w:val="22"/>
          <w:szCs w:val="22"/>
        </w:rPr>
        <w:t>Roman Žák.</w:t>
      </w:r>
      <w:r w:rsidR="009757FE" w:rsidRPr="00D5724F">
        <w:rPr>
          <w:sz w:val="22"/>
          <w:szCs w:val="22"/>
        </w:rPr>
        <w:t xml:space="preserve"> </w:t>
      </w:r>
    </w:p>
    <w:p w14:paraId="030056F0" w14:textId="6368C3C4" w:rsidR="00DF1505" w:rsidRDefault="006C313E" w:rsidP="007E191D">
      <w:pPr>
        <w:jc w:val="both"/>
      </w:pPr>
      <w:r w:rsidRPr="00D5724F">
        <w:t>Č</w:t>
      </w:r>
      <w:r w:rsidR="00707D9A" w:rsidRPr="00D5724F">
        <w:t xml:space="preserve">astým mýtem </w:t>
      </w:r>
      <w:r w:rsidR="007556BF">
        <w:t xml:space="preserve">u konsolidací </w:t>
      </w:r>
      <w:r w:rsidR="006F1A9D" w:rsidRPr="00D5724F">
        <w:t xml:space="preserve">také </w:t>
      </w:r>
      <w:r w:rsidR="00707D9A" w:rsidRPr="00D5724F">
        <w:t xml:space="preserve">je, že sloučení půjček je příliš komplikované a administrativně náročné. Opak je pravdou – žádost lze vyřídit pohodlně online nebo přes telefon, takže není nutné nikam chodit ani řešit složité </w:t>
      </w:r>
      <w:r w:rsidR="002D43EE" w:rsidRPr="00D5724F">
        <w:t>dokladování</w:t>
      </w:r>
      <w:r w:rsidR="00707D9A" w:rsidRPr="00D5724F">
        <w:t xml:space="preserve">. </w:t>
      </w:r>
      <w:r w:rsidR="002D43EE" w:rsidRPr="00D5724F">
        <w:t>D</w:t>
      </w:r>
      <w:r w:rsidR="00707D9A" w:rsidRPr="00D5724F">
        <w:t>igitální cestu</w:t>
      </w:r>
      <w:r w:rsidR="002D43EE" w:rsidRPr="00D5724F">
        <w:t xml:space="preserve"> navíc preferuje stále více klientů</w:t>
      </w:r>
      <w:r w:rsidR="00707D9A" w:rsidRPr="00D5724F">
        <w:t xml:space="preserve">, což </w:t>
      </w:r>
      <w:r w:rsidRPr="00D5724F">
        <w:t xml:space="preserve">ukazuje </w:t>
      </w:r>
      <w:r w:rsidR="00075577" w:rsidRPr="00D5724F">
        <w:t>dvojnásobn</w:t>
      </w:r>
      <w:r w:rsidR="00D13F2E" w:rsidRPr="00D5724F">
        <w:t>ý</w:t>
      </w:r>
      <w:r w:rsidR="00075577" w:rsidRPr="00D5724F">
        <w:t xml:space="preserve"> </w:t>
      </w:r>
      <w:r w:rsidR="00707D9A" w:rsidRPr="00D5724F">
        <w:t>meziroční nárůst</w:t>
      </w:r>
      <w:r w:rsidR="00FF7949" w:rsidRPr="00D5724F">
        <w:t xml:space="preserve"> žádostí</w:t>
      </w:r>
      <w:r w:rsidR="00681E41" w:rsidRPr="00D5724F">
        <w:t xml:space="preserve">. </w:t>
      </w:r>
      <w:r w:rsidR="00707D9A" w:rsidRPr="00D5724F">
        <w:t xml:space="preserve">Elektronické sjednání </w:t>
      </w:r>
      <w:r w:rsidR="00D7555B" w:rsidRPr="00D5724F">
        <w:t xml:space="preserve">přináší </w:t>
      </w:r>
      <w:r w:rsidR="00075577" w:rsidRPr="00D5724F">
        <w:t xml:space="preserve">klientům </w:t>
      </w:r>
      <w:r w:rsidR="00707D9A" w:rsidRPr="00D5724F">
        <w:t>vyšší komfort – celý proces probíhá rychleji a</w:t>
      </w:r>
      <w:r w:rsidR="001C58EF">
        <w:t xml:space="preserve"> klient si čas sjednání může plně přizpůsobit svým časovým možnostem. </w:t>
      </w:r>
      <w:r w:rsidR="00276030" w:rsidRPr="00D5724F">
        <w:t xml:space="preserve">Ale </w:t>
      </w:r>
      <w:r w:rsidR="00A87018" w:rsidRPr="00D5724F">
        <w:t xml:space="preserve">ani </w:t>
      </w:r>
      <w:r w:rsidR="00A13D7A" w:rsidRPr="00D5724F">
        <w:t xml:space="preserve">klienti, </w:t>
      </w:r>
      <w:r w:rsidR="008428F8" w:rsidRPr="00D5724F">
        <w:t xml:space="preserve">kteří </w:t>
      </w:r>
      <w:r w:rsidR="00A87018" w:rsidRPr="00D5724F">
        <w:t>nejsou z digitální generace a</w:t>
      </w:r>
      <w:r w:rsidR="001C58EF">
        <w:t>nebo stále</w:t>
      </w:r>
      <w:r w:rsidR="00A87018" w:rsidRPr="00D5724F">
        <w:t xml:space="preserve"> </w:t>
      </w:r>
      <w:r w:rsidR="008428F8" w:rsidRPr="00D5724F">
        <w:t xml:space="preserve">preferují osobní kontakt, </w:t>
      </w:r>
      <w:r w:rsidR="00A54CE2" w:rsidRPr="00D5724F">
        <w:t>nemus</w:t>
      </w:r>
      <w:r w:rsidR="00A87018" w:rsidRPr="00D5724F">
        <w:t>ej</w:t>
      </w:r>
      <w:r w:rsidR="00A54CE2" w:rsidRPr="00D5724F">
        <w:t>í mít obavy, že nebudou mít kam chodit</w:t>
      </w:r>
      <w:r w:rsidR="00A87018" w:rsidRPr="00D5724F">
        <w:t xml:space="preserve">. </w:t>
      </w:r>
      <w:r w:rsidR="000F7352">
        <w:t>P</w:t>
      </w:r>
      <w:r w:rsidR="00A54CE2" w:rsidRPr="00D5724F">
        <w:t xml:space="preserve">očet poboček </w:t>
      </w:r>
      <w:r w:rsidR="00270521">
        <w:t>Home Credit průběžně rozšiřuje</w:t>
      </w:r>
      <w:r w:rsidR="004C3FA0">
        <w:t>, aktuálně jsou dostupné</w:t>
      </w:r>
      <w:r w:rsidR="00270521">
        <w:t xml:space="preserve"> v Olomouci, Opavě</w:t>
      </w:r>
      <w:r w:rsidR="004C3FA0">
        <w:t xml:space="preserve">, </w:t>
      </w:r>
      <w:r w:rsidR="00270521">
        <w:t>Ostravě</w:t>
      </w:r>
      <w:r w:rsidR="004C3FA0">
        <w:t xml:space="preserve">, Praze, Zlíně, Teplicích a Karviné a chystá se otevření pobočky v Děčíně. </w:t>
      </w:r>
    </w:p>
    <w:p w14:paraId="320929F6" w14:textId="77777777" w:rsidR="00C50279" w:rsidRDefault="00C50279" w:rsidP="007E191D">
      <w:pPr>
        <w:jc w:val="both"/>
        <w:rPr>
          <w:b/>
          <w:bCs/>
        </w:rPr>
      </w:pPr>
    </w:p>
    <w:p w14:paraId="538815E9" w14:textId="18132899" w:rsidR="00707D9A" w:rsidRPr="00D5724F" w:rsidRDefault="00707D9A" w:rsidP="007E191D">
      <w:pPr>
        <w:jc w:val="both"/>
        <w:rPr>
          <w:b/>
          <w:bCs/>
        </w:rPr>
      </w:pPr>
      <w:r w:rsidRPr="00D5724F">
        <w:rPr>
          <w:b/>
          <w:bCs/>
        </w:rPr>
        <w:t>Možnost mimořádné splátky i předčasného splacení</w:t>
      </w:r>
    </w:p>
    <w:p w14:paraId="3D31FEFF" w14:textId="496A949A" w:rsidR="00707D9A" w:rsidRPr="00D5724F" w:rsidRDefault="00707D9A" w:rsidP="007E191D">
      <w:pPr>
        <w:jc w:val="both"/>
      </w:pPr>
      <w:r w:rsidRPr="00D5724F">
        <w:t>Home Credit klientům nabízí také flexibilitu při splácení</w:t>
      </w:r>
      <w:r w:rsidR="007279CE">
        <w:t xml:space="preserve">, </w:t>
      </w:r>
      <w:r w:rsidRPr="00D5724F">
        <w:t>mimořádnou splátku</w:t>
      </w:r>
      <w:r w:rsidR="007279CE">
        <w:t xml:space="preserve"> je možné poslat</w:t>
      </w:r>
      <w:r w:rsidRPr="00D5724F">
        <w:t xml:space="preserve"> kdykoliv.</w:t>
      </w:r>
      <w:r w:rsidR="002D43EE" w:rsidRPr="00D5724F">
        <w:t xml:space="preserve"> </w:t>
      </w:r>
      <w:r w:rsidRPr="00D5724F">
        <w:t xml:space="preserve">Pokud chce klient konsolidaci splatit předčasně, může tak učinit bez </w:t>
      </w:r>
      <w:r w:rsidR="001B1158">
        <w:t>jakýchkoliv sankcí</w:t>
      </w:r>
      <w:r w:rsidR="00C50279">
        <w:t xml:space="preserve"> a poplatků</w:t>
      </w:r>
      <w:r w:rsidR="001B1158">
        <w:t xml:space="preserve">, když se naopak dostane do </w:t>
      </w:r>
      <w:r w:rsidRPr="00D5724F">
        <w:t>problémů</w:t>
      </w:r>
      <w:r w:rsidR="005B1F53">
        <w:t xml:space="preserve">, </w:t>
      </w:r>
      <w:r w:rsidR="0000172F">
        <w:t>může si splátku odložit</w:t>
      </w:r>
      <w:r w:rsidR="00F772E8">
        <w:t>, a to i opakovaně.</w:t>
      </w:r>
    </w:p>
    <w:p w14:paraId="2FE5FF3B" w14:textId="77777777" w:rsidR="00C50279" w:rsidRDefault="00C50279" w:rsidP="19EA21F9">
      <w:pPr>
        <w:jc w:val="both"/>
      </w:pPr>
    </w:p>
    <w:p w14:paraId="2C4BC3C8" w14:textId="408CA1F2" w:rsidR="00DA4E68" w:rsidRDefault="00BF1A3A" w:rsidP="19EA21F9">
      <w:pPr>
        <w:jc w:val="both"/>
      </w:pPr>
      <w:r>
        <w:t xml:space="preserve">Na </w:t>
      </w:r>
      <w:r w:rsidR="00F772E8">
        <w:t xml:space="preserve">větší problémy, </w:t>
      </w:r>
      <w:r w:rsidR="00434BA5">
        <w:t>jako j</w:t>
      </w:r>
      <w:r w:rsidR="00C50279">
        <w:t>e</w:t>
      </w:r>
      <w:r w:rsidR="00434BA5">
        <w:t xml:space="preserve"> </w:t>
      </w:r>
      <w:r w:rsidR="00F772E8">
        <w:t>například ztrát</w:t>
      </w:r>
      <w:r w:rsidR="00434BA5">
        <w:t>a</w:t>
      </w:r>
      <w:r w:rsidR="00F772E8">
        <w:t xml:space="preserve"> zaměstnání, </w:t>
      </w:r>
      <w:r w:rsidR="006D5A16">
        <w:t xml:space="preserve">pracovní neschopnost, </w:t>
      </w:r>
      <w:r w:rsidR="00247BB2">
        <w:t>hospitalizace</w:t>
      </w:r>
      <w:r w:rsidR="00DD16A5">
        <w:t xml:space="preserve"> a invalidita v důsledku nemoci či úrazu a</w:t>
      </w:r>
      <w:r w:rsidR="00247BB2">
        <w:t>nebo</w:t>
      </w:r>
      <w:r w:rsidR="00174230">
        <w:t xml:space="preserve"> dlouhodobé ošetřování člena rodiny </w:t>
      </w:r>
      <w:r w:rsidR="00AE4463">
        <w:t>má</w:t>
      </w:r>
      <w:r w:rsidR="00174230">
        <w:t xml:space="preserve"> </w:t>
      </w:r>
      <w:r w:rsidR="00A42206">
        <w:t>Home Credit</w:t>
      </w:r>
      <w:r w:rsidR="00AE4463">
        <w:t xml:space="preserve"> v nabídce</w:t>
      </w:r>
      <w:r w:rsidR="00A42206">
        <w:t xml:space="preserve"> </w:t>
      </w:r>
      <w:r w:rsidR="00CF683E" w:rsidRPr="00D5724F">
        <w:t>pojištění schopnosti splácet</w:t>
      </w:r>
      <w:r w:rsidR="005C0AD0">
        <w:t xml:space="preserve">. </w:t>
      </w:r>
      <w:r w:rsidR="0047155B">
        <w:t xml:space="preserve">K půjčce si toto pojištění vybírá </w:t>
      </w:r>
      <w:r w:rsidR="00316D35">
        <w:t>až</w:t>
      </w:r>
      <w:r w:rsidR="0047155B">
        <w:t xml:space="preserve"> 60 % klientů</w:t>
      </w:r>
      <w:r w:rsidR="00316D35">
        <w:t>.</w:t>
      </w:r>
      <w:r w:rsidR="0047155B">
        <w:t xml:space="preserve"> </w:t>
      </w:r>
    </w:p>
    <w:p w14:paraId="34E6533C" w14:textId="61E3F687" w:rsidR="00707D9A" w:rsidRDefault="00DA4E68" w:rsidP="19EA21F9">
      <w:pPr>
        <w:jc w:val="both"/>
      </w:pPr>
      <w:r w:rsidRPr="004C3FA0">
        <w:rPr>
          <w:i/>
          <w:iCs/>
        </w:rPr>
        <w:t>„Sjednat si pojištění je rozumné, a zvlášť u úvěrů na vyšší částky s dlouhodobějším splátkovým kalendářem. Je to pro klienta jistota, že se při nenadálých situacích nedostane do problémů</w:t>
      </w:r>
      <w:r w:rsidR="00CF683E" w:rsidRPr="004C3FA0">
        <w:rPr>
          <w:i/>
          <w:iCs/>
        </w:rPr>
        <w:t>.</w:t>
      </w:r>
      <w:r w:rsidRPr="004C3FA0">
        <w:rPr>
          <w:i/>
          <w:iCs/>
        </w:rPr>
        <w:t xml:space="preserve"> Osobně bych pojištění vždy doporučil,“</w:t>
      </w:r>
      <w:r>
        <w:t xml:space="preserve"> dodává Roman Žák. </w:t>
      </w:r>
    </w:p>
    <w:p w14:paraId="64BC651F" w14:textId="77777777" w:rsidR="00C50279" w:rsidRDefault="00C50279" w:rsidP="00414ACF">
      <w:pPr>
        <w:rPr>
          <w:rFonts w:cstheme="minorHAnsi"/>
        </w:rPr>
      </w:pPr>
    </w:p>
    <w:p w14:paraId="16DE37C9" w14:textId="77777777" w:rsidR="00C50279" w:rsidRDefault="00C50279" w:rsidP="00414ACF">
      <w:pPr>
        <w:rPr>
          <w:rFonts w:cstheme="minorHAnsi"/>
        </w:rPr>
      </w:pPr>
    </w:p>
    <w:p w14:paraId="6F0367CE" w14:textId="2A804B87" w:rsidR="00414ACF" w:rsidRPr="008118AD" w:rsidRDefault="00857320" w:rsidP="00414ACF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2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3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</w:rPr>
        <w:softHyphen/>
      </w:r>
      <w:r w:rsidR="00414ACF" w:rsidRPr="008118AD">
        <w:rPr>
          <w:rFonts w:cstheme="minorHAnsi"/>
          <w:b/>
          <w:bCs/>
        </w:rPr>
        <w:t>Poznámka pro editory:</w:t>
      </w:r>
      <w:r w:rsidR="00414ACF" w:rsidRPr="008118AD">
        <w:rPr>
          <w:rFonts w:cstheme="minorHAnsi"/>
          <w:b/>
          <w:bCs/>
        </w:rPr>
        <w:br/>
      </w:r>
      <w:r w:rsidR="00414ACF" w:rsidRPr="008118AD">
        <w:rPr>
          <w:rFonts w:cstheme="minorHAnsi"/>
          <w:b/>
          <w:bCs/>
        </w:rPr>
        <w:br/>
        <w:t>Společnost Home Credit a.s.</w:t>
      </w:r>
      <w:r w:rsidR="00414ACF" w:rsidRPr="008118AD">
        <w:rPr>
          <w:rFonts w:cstheme="minorHAnsi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="00414ACF" w:rsidRPr="008118AD">
          <w:rPr>
            <w:rStyle w:val="Hypertextovodkaz"/>
            <w:rFonts w:cstheme="minorHAnsi"/>
          </w:rPr>
          <w:t>www.homecredit.cz</w:t>
        </w:r>
      </w:hyperlink>
    </w:p>
    <w:p w14:paraId="70B22E50" w14:textId="77777777" w:rsidR="00414ACF" w:rsidRPr="008118AD" w:rsidRDefault="00414ACF" w:rsidP="00414ACF">
      <w:pPr>
        <w:rPr>
          <w:rFonts w:cstheme="minorHAnsi"/>
        </w:rPr>
      </w:pPr>
      <w:r w:rsidRPr="008118AD">
        <w:rPr>
          <w:rFonts w:cstheme="minorHAnsi"/>
          <w:b/>
          <w:bCs/>
        </w:rPr>
        <w:t>Skupina PPF </w:t>
      </w:r>
      <w:r w:rsidRPr="008118AD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</w:t>
      </w:r>
    </w:p>
    <w:p w14:paraId="497201DC" w14:textId="7EA7A33A" w:rsidR="008118AD" w:rsidRPr="008118AD" w:rsidRDefault="008118AD" w:rsidP="00414ACF">
      <w:pPr>
        <w:rPr>
          <w:rFonts w:cstheme="minorHAnsi"/>
        </w:rPr>
      </w:pPr>
    </w:p>
    <w:p w14:paraId="7B6741B7" w14:textId="35BE35E1" w:rsidR="00A03809" w:rsidRPr="00757F21" w:rsidRDefault="00A03809" w:rsidP="00857320"/>
    <w:sectPr w:rsidR="00A03809" w:rsidRPr="00757F21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2CA8" w14:textId="77777777" w:rsidR="00633F75" w:rsidRDefault="00633F75" w:rsidP="00DE7D53">
      <w:pPr>
        <w:spacing w:after="0" w:line="240" w:lineRule="auto"/>
      </w:pPr>
      <w:r>
        <w:separator/>
      </w:r>
    </w:p>
  </w:endnote>
  <w:endnote w:type="continuationSeparator" w:id="0">
    <w:p w14:paraId="64AF9E84" w14:textId="77777777" w:rsidR="00633F75" w:rsidRDefault="00633F75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B4E4" w14:textId="77777777" w:rsidR="00633F75" w:rsidRDefault="00633F75" w:rsidP="00DE7D53">
      <w:pPr>
        <w:spacing w:after="0" w:line="240" w:lineRule="auto"/>
      </w:pPr>
      <w:r>
        <w:separator/>
      </w:r>
    </w:p>
  </w:footnote>
  <w:footnote w:type="continuationSeparator" w:id="0">
    <w:p w14:paraId="3E1F59DE" w14:textId="77777777" w:rsidR="00633F75" w:rsidRDefault="00633F75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172F"/>
    <w:rsid w:val="0000244D"/>
    <w:rsid w:val="00004D35"/>
    <w:rsid w:val="000059E9"/>
    <w:rsid w:val="0000729A"/>
    <w:rsid w:val="000101E3"/>
    <w:rsid w:val="00011627"/>
    <w:rsid w:val="00013FDD"/>
    <w:rsid w:val="00016DF7"/>
    <w:rsid w:val="000258E4"/>
    <w:rsid w:val="00026CE0"/>
    <w:rsid w:val="000337EF"/>
    <w:rsid w:val="00034C1D"/>
    <w:rsid w:val="00041243"/>
    <w:rsid w:val="0004388C"/>
    <w:rsid w:val="0005132D"/>
    <w:rsid w:val="00054154"/>
    <w:rsid w:val="00060DC3"/>
    <w:rsid w:val="000623AE"/>
    <w:rsid w:val="000626A5"/>
    <w:rsid w:val="00075577"/>
    <w:rsid w:val="00075B39"/>
    <w:rsid w:val="00080EE9"/>
    <w:rsid w:val="00092372"/>
    <w:rsid w:val="000A3588"/>
    <w:rsid w:val="000A36B4"/>
    <w:rsid w:val="000B0F9B"/>
    <w:rsid w:val="000B176E"/>
    <w:rsid w:val="000B3E16"/>
    <w:rsid w:val="000B7A25"/>
    <w:rsid w:val="000C22A8"/>
    <w:rsid w:val="000C38C0"/>
    <w:rsid w:val="000C5FAB"/>
    <w:rsid w:val="000C7EE1"/>
    <w:rsid w:val="000D29A5"/>
    <w:rsid w:val="000D2C21"/>
    <w:rsid w:val="000E25C7"/>
    <w:rsid w:val="000E2870"/>
    <w:rsid w:val="000F1D46"/>
    <w:rsid w:val="000F1F4F"/>
    <w:rsid w:val="000F7352"/>
    <w:rsid w:val="000F7E7D"/>
    <w:rsid w:val="0010054A"/>
    <w:rsid w:val="001107A2"/>
    <w:rsid w:val="00115379"/>
    <w:rsid w:val="00117E8D"/>
    <w:rsid w:val="001244B4"/>
    <w:rsid w:val="00147DC4"/>
    <w:rsid w:val="0015151F"/>
    <w:rsid w:val="00153322"/>
    <w:rsid w:val="001533D1"/>
    <w:rsid w:val="001538D5"/>
    <w:rsid w:val="001556AB"/>
    <w:rsid w:val="00157A62"/>
    <w:rsid w:val="00171795"/>
    <w:rsid w:val="00173438"/>
    <w:rsid w:val="00174230"/>
    <w:rsid w:val="00184360"/>
    <w:rsid w:val="00184B10"/>
    <w:rsid w:val="00187EA2"/>
    <w:rsid w:val="00190239"/>
    <w:rsid w:val="001A4B9F"/>
    <w:rsid w:val="001B1158"/>
    <w:rsid w:val="001B3B63"/>
    <w:rsid w:val="001C0B97"/>
    <w:rsid w:val="001C1609"/>
    <w:rsid w:val="001C2E1F"/>
    <w:rsid w:val="001C4A0B"/>
    <w:rsid w:val="001C5199"/>
    <w:rsid w:val="001C58EF"/>
    <w:rsid w:val="001C6040"/>
    <w:rsid w:val="001D1A5E"/>
    <w:rsid w:val="001E6B3F"/>
    <w:rsid w:val="001F1948"/>
    <w:rsid w:val="001F5EC0"/>
    <w:rsid w:val="0020241D"/>
    <w:rsid w:val="002033EB"/>
    <w:rsid w:val="002060CE"/>
    <w:rsid w:val="00206509"/>
    <w:rsid w:val="0021127D"/>
    <w:rsid w:val="00217B30"/>
    <w:rsid w:val="00225780"/>
    <w:rsid w:val="00225811"/>
    <w:rsid w:val="00225A27"/>
    <w:rsid w:val="00227DDF"/>
    <w:rsid w:val="0023131F"/>
    <w:rsid w:val="00236BF0"/>
    <w:rsid w:val="00237B2A"/>
    <w:rsid w:val="00245A6F"/>
    <w:rsid w:val="002470C2"/>
    <w:rsid w:val="00247BB2"/>
    <w:rsid w:val="002544FA"/>
    <w:rsid w:val="002642D3"/>
    <w:rsid w:val="00270521"/>
    <w:rsid w:val="002724C5"/>
    <w:rsid w:val="00276030"/>
    <w:rsid w:val="00276A3C"/>
    <w:rsid w:val="00283705"/>
    <w:rsid w:val="002844EA"/>
    <w:rsid w:val="0029594D"/>
    <w:rsid w:val="00297752"/>
    <w:rsid w:val="002A77E0"/>
    <w:rsid w:val="002B319F"/>
    <w:rsid w:val="002B5897"/>
    <w:rsid w:val="002B748E"/>
    <w:rsid w:val="002B74FE"/>
    <w:rsid w:val="002C3986"/>
    <w:rsid w:val="002C6E10"/>
    <w:rsid w:val="002D0B21"/>
    <w:rsid w:val="002D11CD"/>
    <w:rsid w:val="002D4039"/>
    <w:rsid w:val="002D43EE"/>
    <w:rsid w:val="002D4B81"/>
    <w:rsid w:val="002D60C8"/>
    <w:rsid w:val="002D7F1A"/>
    <w:rsid w:val="002E51E9"/>
    <w:rsid w:val="002E58EF"/>
    <w:rsid w:val="002E5D48"/>
    <w:rsid w:val="002E6110"/>
    <w:rsid w:val="002F185A"/>
    <w:rsid w:val="003071B7"/>
    <w:rsid w:val="003078DB"/>
    <w:rsid w:val="003117BA"/>
    <w:rsid w:val="00316D35"/>
    <w:rsid w:val="00320861"/>
    <w:rsid w:val="00327785"/>
    <w:rsid w:val="003313BF"/>
    <w:rsid w:val="0033307B"/>
    <w:rsid w:val="00334087"/>
    <w:rsid w:val="003352A0"/>
    <w:rsid w:val="00336918"/>
    <w:rsid w:val="00337CE9"/>
    <w:rsid w:val="00337ECC"/>
    <w:rsid w:val="0034056E"/>
    <w:rsid w:val="00340A54"/>
    <w:rsid w:val="00342D93"/>
    <w:rsid w:val="003503DD"/>
    <w:rsid w:val="00351D5A"/>
    <w:rsid w:val="00356244"/>
    <w:rsid w:val="00356C32"/>
    <w:rsid w:val="003574D9"/>
    <w:rsid w:val="00363449"/>
    <w:rsid w:val="00365ED9"/>
    <w:rsid w:val="00371448"/>
    <w:rsid w:val="00372FD1"/>
    <w:rsid w:val="00382865"/>
    <w:rsid w:val="00390BD8"/>
    <w:rsid w:val="0039201C"/>
    <w:rsid w:val="00392963"/>
    <w:rsid w:val="003930FB"/>
    <w:rsid w:val="003973A5"/>
    <w:rsid w:val="003A24AD"/>
    <w:rsid w:val="003A3A11"/>
    <w:rsid w:val="003B0754"/>
    <w:rsid w:val="003B094A"/>
    <w:rsid w:val="003C101E"/>
    <w:rsid w:val="003C3B7D"/>
    <w:rsid w:val="003C3DD1"/>
    <w:rsid w:val="003C4B63"/>
    <w:rsid w:val="003E0D5D"/>
    <w:rsid w:val="003F0D29"/>
    <w:rsid w:val="003F2FAD"/>
    <w:rsid w:val="00400EF4"/>
    <w:rsid w:val="00404151"/>
    <w:rsid w:val="00407923"/>
    <w:rsid w:val="00414ACF"/>
    <w:rsid w:val="00414E86"/>
    <w:rsid w:val="00422E59"/>
    <w:rsid w:val="00431AA1"/>
    <w:rsid w:val="004329AD"/>
    <w:rsid w:val="00434BA5"/>
    <w:rsid w:val="00437CC2"/>
    <w:rsid w:val="0044476B"/>
    <w:rsid w:val="00446D93"/>
    <w:rsid w:val="004566A5"/>
    <w:rsid w:val="00464F26"/>
    <w:rsid w:val="00465A8F"/>
    <w:rsid w:val="00471228"/>
    <w:rsid w:val="0047155B"/>
    <w:rsid w:val="00474E53"/>
    <w:rsid w:val="004772A7"/>
    <w:rsid w:val="004849A2"/>
    <w:rsid w:val="0049242E"/>
    <w:rsid w:val="0049446F"/>
    <w:rsid w:val="00496B61"/>
    <w:rsid w:val="00497B00"/>
    <w:rsid w:val="004A6C73"/>
    <w:rsid w:val="004B000E"/>
    <w:rsid w:val="004B6DDA"/>
    <w:rsid w:val="004C3FA0"/>
    <w:rsid w:val="004C66E6"/>
    <w:rsid w:val="004C7811"/>
    <w:rsid w:val="004D28BF"/>
    <w:rsid w:val="004D6F1A"/>
    <w:rsid w:val="004E563F"/>
    <w:rsid w:val="004E5886"/>
    <w:rsid w:val="004E7E5B"/>
    <w:rsid w:val="004F1870"/>
    <w:rsid w:val="004F25F4"/>
    <w:rsid w:val="004F7BC3"/>
    <w:rsid w:val="00502FD8"/>
    <w:rsid w:val="00516B28"/>
    <w:rsid w:val="00521B37"/>
    <w:rsid w:val="00522F87"/>
    <w:rsid w:val="0053006D"/>
    <w:rsid w:val="005305D3"/>
    <w:rsid w:val="00543611"/>
    <w:rsid w:val="00543E57"/>
    <w:rsid w:val="005469CC"/>
    <w:rsid w:val="0055050D"/>
    <w:rsid w:val="005514F0"/>
    <w:rsid w:val="005534BB"/>
    <w:rsid w:val="00556BF8"/>
    <w:rsid w:val="005663A1"/>
    <w:rsid w:val="005734F3"/>
    <w:rsid w:val="005750CF"/>
    <w:rsid w:val="00577C6A"/>
    <w:rsid w:val="00594705"/>
    <w:rsid w:val="005A4A96"/>
    <w:rsid w:val="005A6D20"/>
    <w:rsid w:val="005A7444"/>
    <w:rsid w:val="005B1CAC"/>
    <w:rsid w:val="005B1F53"/>
    <w:rsid w:val="005B2004"/>
    <w:rsid w:val="005B294A"/>
    <w:rsid w:val="005B38A7"/>
    <w:rsid w:val="005C0AD0"/>
    <w:rsid w:val="005C2C20"/>
    <w:rsid w:val="005C5350"/>
    <w:rsid w:val="005D4695"/>
    <w:rsid w:val="005D4A80"/>
    <w:rsid w:val="005E1C2D"/>
    <w:rsid w:val="005E5941"/>
    <w:rsid w:val="005F5F64"/>
    <w:rsid w:val="00600EC9"/>
    <w:rsid w:val="00611C9C"/>
    <w:rsid w:val="00613612"/>
    <w:rsid w:val="00616F14"/>
    <w:rsid w:val="00625B33"/>
    <w:rsid w:val="0063006A"/>
    <w:rsid w:val="00631D86"/>
    <w:rsid w:val="00633F75"/>
    <w:rsid w:val="00646261"/>
    <w:rsid w:val="00666849"/>
    <w:rsid w:val="00666EE8"/>
    <w:rsid w:val="00670626"/>
    <w:rsid w:val="00670A33"/>
    <w:rsid w:val="00675C5A"/>
    <w:rsid w:val="00676BCB"/>
    <w:rsid w:val="00677C64"/>
    <w:rsid w:val="00681027"/>
    <w:rsid w:val="00681E41"/>
    <w:rsid w:val="006829FB"/>
    <w:rsid w:val="0068436B"/>
    <w:rsid w:val="00690EB7"/>
    <w:rsid w:val="006A0182"/>
    <w:rsid w:val="006A6985"/>
    <w:rsid w:val="006A7143"/>
    <w:rsid w:val="006B768D"/>
    <w:rsid w:val="006C2E5F"/>
    <w:rsid w:val="006C313E"/>
    <w:rsid w:val="006C3920"/>
    <w:rsid w:val="006D061E"/>
    <w:rsid w:val="006D0801"/>
    <w:rsid w:val="006D2815"/>
    <w:rsid w:val="006D5A16"/>
    <w:rsid w:val="006D65CC"/>
    <w:rsid w:val="006E0DF7"/>
    <w:rsid w:val="006F12D6"/>
    <w:rsid w:val="006F1A9D"/>
    <w:rsid w:val="006F5EE1"/>
    <w:rsid w:val="006F65BD"/>
    <w:rsid w:val="00700BD5"/>
    <w:rsid w:val="007013D1"/>
    <w:rsid w:val="00706B8D"/>
    <w:rsid w:val="00707D9A"/>
    <w:rsid w:val="00710DD9"/>
    <w:rsid w:val="0071296F"/>
    <w:rsid w:val="007160DA"/>
    <w:rsid w:val="00725453"/>
    <w:rsid w:val="007279CE"/>
    <w:rsid w:val="00727F45"/>
    <w:rsid w:val="00733CF4"/>
    <w:rsid w:val="00742FC0"/>
    <w:rsid w:val="00745144"/>
    <w:rsid w:val="00746265"/>
    <w:rsid w:val="00752B06"/>
    <w:rsid w:val="007556BF"/>
    <w:rsid w:val="00757F21"/>
    <w:rsid w:val="00761600"/>
    <w:rsid w:val="00762620"/>
    <w:rsid w:val="007639AB"/>
    <w:rsid w:val="00771A11"/>
    <w:rsid w:val="00775DD8"/>
    <w:rsid w:val="00781B7D"/>
    <w:rsid w:val="00785884"/>
    <w:rsid w:val="00787811"/>
    <w:rsid w:val="007903F7"/>
    <w:rsid w:val="007905DB"/>
    <w:rsid w:val="007944C2"/>
    <w:rsid w:val="007B1A28"/>
    <w:rsid w:val="007B56E0"/>
    <w:rsid w:val="007C0BF5"/>
    <w:rsid w:val="007C1806"/>
    <w:rsid w:val="007C3873"/>
    <w:rsid w:val="007D143B"/>
    <w:rsid w:val="007E191D"/>
    <w:rsid w:val="007E60C9"/>
    <w:rsid w:val="007F1C60"/>
    <w:rsid w:val="007F5991"/>
    <w:rsid w:val="008118AD"/>
    <w:rsid w:val="00812C34"/>
    <w:rsid w:val="0081541E"/>
    <w:rsid w:val="00816F96"/>
    <w:rsid w:val="00817A9D"/>
    <w:rsid w:val="0083144D"/>
    <w:rsid w:val="00833544"/>
    <w:rsid w:val="008428F8"/>
    <w:rsid w:val="0084345C"/>
    <w:rsid w:val="008471A7"/>
    <w:rsid w:val="00851122"/>
    <w:rsid w:val="00854255"/>
    <w:rsid w:val="00857320"/>
    <w:rsid w:val="00870A3B"/>
    <w:rsid w:val="008759F5"/>
    <w:rsid w:val="00886B2A"/>
    <w:rsid w:val="00892968"/>
    <w:rsid w:val="00894858"/>
    <w:rsid w:val="00896DE3"/>
    <w:rsid w:val="008B01C6"/>
    <w:rsid w:val="008B5781"/>
    <w:rsid w:val="008B7C91"/>
    <w:rsid w:val="008C16AF"/>
    <w:rsid w:val="008D04B2"/>
    <w:rsid w:val="008D2A31"/>
    <w:rsid w:val="008D76AC"/>
    <w:rsid w:val="008E4EA0"/>
    <w:rsid w:val="008F1713"/>
    <w:rsid w:val="008F33F8"/>
    <w:rsid w:val="008F5727"/>
    <w:rsid w:val="009008E7"/>
    <w:rsid w:val="00907F9B"/>
    <w:rsid w:val="00915B4C"/>
    <w:rsid w:val="00917F57"/>
    <w:rsid w:val="00926CA9"/>
    <w:rsid w:val="00930B43"/>
    <w:rsid w:val="00932E40"/>
    <w:rsid w:val="0094725A"/>
    <w:rsid w:val="00947764"/>
    <w:rsid w:val="00952FF5"/>
    <w:rsid w:val="0096372A"/>
    <w:rsid w:val="00963B37"/>
    <w:rsid w:val="009704CF"/>
    <w:rsid w:val="009757FE"/>
    <w:rsid w:val="00983CFD"/>
    <w:rsid w:val="00986EC5"/>
    <w:rsid w:val="009906A1"/>
    <w:rsid w:val="00990A8D"/>
    <w:rsid w:val="009A472D"/>
    <w:rsid w:val="009A5EF7"/>
    <w:rsid w:val="009B3DF7"/>
    <w:rsid w:val="009B6D65"/>
    <w:rsid w:val="009B7D35"/>
    <w:rsid w:val="009C074F"/>
    <w:rsid w:val="009C5944"/>
    <w:rsid w:val="009D0A83"/>
    <w:rsid w:val="009D1A09"/>
    <w:rsid w:val="009D4F20"/>
    <w:rsid w:val="009E07AE"/>
    <w:rsid w:val="009E2803"/>
    <w:rsid w:val="009E4541"/>
    <w:rsid w:val="009E7C2B"/>
    <w:rsid w:val="009F14A6"/>
    <w:rsid w:val="009F1796"/>
    <w:rsid w:val="009F225D"/>
    <w:rsid w:val="009F49C0"/>
    <w:rsid w:val="00A03809"/>
    <w:rsid w:val="00A06754"/>
    <w:rsid w:val="00A0768D"/>
    <w:rsid w:val="00A124A3"/>
    <w:rsid w:val="00A13D7A"/>
    <w:rsid w:val="00A23C53"/>
    <w:rsid w:val="00A349BF"/>
    <w:rsid w:val="00A42206"/>
    <w:rsid w:val="00A54CE2"/>
    <w:rsid w:val="00A60778"/>
    <w:rsid w:val="00A77916"/>
    <w:rsid w:val="00A840D2"/>
    <w:rsid w:val="00A857B2"/>
    <w:rsid w:val="00A87018"/>
    <w:rsid w:val="00A87E01"/>
    <w:rsid w:val="00A91A74"/>
    <w:rsid w:val="00A965D8"/>
    <w:rsid w:val="00AA05AF"/>
    <w:rsid w:val="00AA3C26"/>
    <w:rsid w:val="00AB4050"/>
    <w:rsid w:val="00AC441B"/>
    <w:rsid w:val="00AC6A1B"/>
    <w:rsid w:val="00AE33ED"/>
    <w:rsid w:val="00AE4463"/>
    <w:rsid w:val="00AF4BCC"/>
    <w:rsid w:val="00B01B88"/>
    <w:rsid w:val="00B048C7"/>
    <w:rsid w:val="00B10A86"/>
    <w:rsid w:val="00B13578"/>
    <w:rsid w:val="00B1370F"/>
    <w:rsid w:val="00B170F3"/>
    <w:rsid w:val="00B23332"/>
    <w:rsid w:val="00B25C9D"/>
    <w:rsid w:val="00B26453"/>
    <w:rsid w:val="00B306A2"/>
    <w:rsid w:val="00B319B2"/>
    <w:rsid w:val="00B3294C"/>
    <w:rsid w:val="00B4031D"/>
    <w:rsid w:val="00B418F0"/>
    <w:rsid w:val="00B53471"/>
    <w:rsid w:val="00B550D9"/>
    <w:rsid w:val="00B620D9"/>
    <w:rsid w:val="00B633AA"/>
    <w:rsid w:val="00B635E7"/>
    <w:rsid w:val="00B64CB0"/>
    <w:rsid w:val="00B67638"/>
    <w:rsid w:val="00B750BC"/>
    <w:rsid w:val="00B77112"/>
    <w:rsid w:val="00B77C1C"/>
    <w:rsid w:val="00B82787"/>
    <w:rsid w:val="00B84072"/>
    <w:rsid w:val="00B921DD"/>
    <w:rsid w:val="00B932EC"/>
    <w:rsid w:val="00B94024"/>
    <w:rsid w:val="00BA2788"/>
    <w:rsid w:val="00BA659F"/>
    <w:rsid w:val="00BA6DF0"/>
    <w:rsid w:val="00BB7CF2"/>
    <w:rsid w:val="00BC102E"/>
    <w:rsid w:val="00BC4A25"/>
    <w:rsid w:val="00BD14B1"/>
    <w:rsid w:val="00BD4EDC"/>
    <w:rsid w:val="00BD5734"/>
    <w:rsid w:val="00BD7F81"/>
    <w:rsid w:val="00BE6742"/>
    <w:rsid w:val="00BF1A3A"/>
    <w:rsid w:val="00BF243D"/>
    <w:rsid w:val="00C01969"/>
    <w:rsid w:val="00C07413"/>
    <w:rsid w:val="00C150C8"/>
    <w:rsid w:val="00C22705"/>
    <w:rsid w:val="00C22B55"/>
    <w:rsid w:val="00C24DE1"/>
    <w:rsid w:val="00C25553"/>
    <w:rsid w:val="00C26B9E"/>
    <w:rsid w:val="00C345FD"/>
    <w:rsid w:val="00C35815"/>
    <w:rsid w:val="00C408D4"/>
    <w:rsid w:val="00C41831"/>
    <w:rsid w:val="00C44478"/>
    <w:rsid w:val="00C50279"/>
    <w:rsid w:val="00C54685"/>
    <w:rsid w:val="00C67BA2"/>
    <w:rsid w:val="00C73DD5"/>
    <w:rsid w:val="00C8139E"/>
    <w:rsid w:val="00C8224C"/>
    <w:rsid w:val="00C919EF"/>
    <w:rsid w:val="00C91EC2"/>
    <w:rsid w:val="00C933C1"/>
    <w:rsid w:val="00CA3693"/>
    <w:rsid w:val="00CB0A07"/>
    <w:rsid w:val="00CB0D09"/>
    <w:rsid w:val="00CB47A1"/>
    <w:rsid w:val="00CC1C1A"/>
    <w:rsid w:val="00CC46FC"/>
    <w:rsid w:val="00CC56FF"/>
    <w:rsid w:val="00CC5907"/>
    <w:rsid w:val="00CD3DFF"/>
    <w:rsid w:val="00CD59AB"/>
    <w:rsid w:val="00CE3174"/>
    <w:rsid w:val="00CE33A4"/>
    <w:rsid w:val="00CE4161"/>
    <w:rsid w:val="00CF190D"/>
    <w:rsid w:val="00CF1DD1"/>
    <w:rsid w:val="00CF683E"/>
    <w:rsid w:val="00D028C5"/>
    <w:rsid w:val="00D13F2E"/>
    <w:rsid w:val="00D17B59"/>
    <w:rsid w:val="00D20F97"/>
    <w:rsid w:val="00D21717"/>
    <w:rsid w:val="00D3119D"/>
    <w:rsid w:val="00D34D2D"/>
    <w:rsid w:val="00D40CEE"/>
    <w:rsid w:val="00D5724F"/>
    <w:rsid w:val="00D6122B"/>
    <w:rsid w:val="00D61232"/>
    <w:rsid w:val="00D63311"/>
    <w:rsid w:val="00D722CD"/>
    <w:rsid w:val="00D7555B"/>
    <w:rsid w:val="00D762C9"/>
    <w:rsid w:val="00D81A65"/>
    <w:rsid w:val="00D83371"/>
    <w:rsid w:val="00D84214"/>
    <w:rsid w:val="00D9167C"/>
    <w:rsid w:val="00D97126"/>
    <w:rsid w:val="00D97FB9"/>
    <w:rsid w:val="00DA001E"/>
    <w:rsid w:val="00DA4E68"/>
    <w:rsid w:val="00DB092E"/>
    <w:rsid w:val="00DB1D66"/>
    <w:rsid w:val="00DB2DFD"/>
    <w:rsid w:val="00DB6859"/>
    <w:rsid w:val="00DC16E3"/>
    <w:rsid w:val="00DD16A5"/>
    <w:rsid w:val="00DE2199"/>
    <w:rsid w:val="00DE7D53"/>
    <w:rsid w:val="00DF1505"/>
    <w:rsid w:val="00DF2C93"/>
    <w:rsid w:val="00E01A94"/>
    <w:rsid w:val="00E02AD8"/>
    <w:rsid w:val="00E047A5"/>
    <w:rsid w:val="00E147EE"/>
    <w:rsid w:val="00E16C2E"/>
    <w:rsid w:val="00E209EA"/>
    <w:rsid w:val="00E2104D"/>
    <w:rsid w:val="00E272D6"/>
    <w:rsid w:val="00E325C4"/>
    <w:rsid w:val="00E40E0B"/>
    <w:rsid w:val="00E40F9A"/>
    <w:rsid w:val="00E479A1"/>
    <w:rsid w:val="00E50475"/>
    <w:rsid w:val="00E541EA"/>
    <w:rsid w:val="00E546FF"/>
    <w:rsid w:val="00E54867"/>
    <w:rsid w:val="00E54C44"/>
    <w:rsid w:val="00E56FB9"/>
    <w:rsid w:val="00E5712C"/>
    <w:rsid w:val="00E6587E"/>
    <w:rsid w:val="00E65ACE"/>
    <w:rsid w:val="00E66B06"/>
    <w:rsid w:val="00E66C96"/>
    <w:rsid w:val="00E702BF"/>
    <w:rsid w:val="00E71696"/>
    <w:rsid w:val="00E84866"/>
    <w:rsid w:val="00E86F51"/>
    <w:rsid w:val="00E925C4"/>
    <w:rsid w:val="00EA0A96"/>
    <w:rsid w:val="00EA4D5E"/>
    <w:rsid w:val="00EA5F69"/>
    <w:rsid w:val="00EA70CD"/>
    <w:rsid w:val="00EB7CC7"/>
    <w:rsid w:val="00ED2E24"/>
    <w:rsid w:val="00ED376D"/>
    <w:rsid w:val="00ED6365"/>
    <w:rsid w:val="00EE1EBE"/>
    <w:rsid w:val="00EE65D5"/>
    <w:rsid w:val="00EF7022"/>
    <w:rsid w:val="00F14827"/>
    <w:rsid w:val="00F15D9F"/>
    <w:rsid w:val="00F26057"/>
    <w:rsid w:val="00F40227"/>
    <w:rsid w:val="00F41415"/>
    <w:rsid w:val="00F41E34"/>
    <w:rsid w:val="00F50C9D"/>
    <w:rsid w:val="00F5278C"/>
    <w:rsid w:val="00F5353C"/>
    <w:rsid w:val="00F537A0"/>
    <w:rsid w:val="00F5681D"/>
    <w:rsid w:val="00F642BA"/>
    <w:rsid w:val="00F65636"/>
    <w:rsid w:val="00F748B5"/>
    <w:rsid w:val="00F7632C"/>
    <w:rsid w:val="00F772E8"/>
    <w:rsid w:val="00F77FD8"/>
    <w:rsid w:val="00F831BD"/>
    <w:rsid w:val="00F84401"/>
    <w:rsid w:val="00F91AB4"/>
    <w:rsid w:val="00F95512"/>
    <w:rsid w:val="00FA2E14"/>
    <w:rsid w:val="00FB5810"/>
    <w:rsid w:val="00FC078A"/>
    <w:rsid w:val="00FC222B"/>
    <w:rsid w:val="00FC233F"/>
    <w:rsid w:val="00FC568E"/>
    <w:rsid w:val="00FE1AAA"/>
    <w:rsid w:val="00FF05B8"/>
    <w:rsid w:val="00FF7610"/>
    <w:rsid w:val="00FF7949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50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aonline.cz/clanky/doporuceni-cba-refinancovani-nezajistenych-uve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aterina.Dobesova\AppData\Local\Microsoft\Windows\INetCache\Content.Outlook\GVP9OBKL\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2023_vzor_CZ.dotx</Template>
  <TotalTime>3</TotalTime>
  <Pages>2</Pages>
  <Words>782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Kateřina Dobešová (CZ)</cp:lastModifiedBy>
  <cp:revision>2</cp:revision>
  <cp:lastPrinted>2025-01-28T08:08:00Z</cp:lastPrinted>
  <dcterms:created xsi:type="dcterms:W3CDTF">2025-03-13T14:05:00Z</dcterms:created>
  <dcterms:modified xsi:type="dcterms:W3CDTF">2025-03-13T14:05:00Z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